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8A3135" w:rsidRPr="007453AD" w:rsidRDefault="007C5AC5" w:rsidP="00147465">
      <w:pPr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  <w:t>Istinomjer</w:t>
      </w:r>
    </w:p>
    <w:p w:rsidR="00147465" w:rsidRPr="007453AD" w:rsidRDefault="008A3135" w:rsidP="00147465">
      <w:pPr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  <w:t xml:space="preserve">e-mail: </w:t>
      </w:r>
      <w:hyperlink r:id="rId8" w:history="1">
        <w:r w:rsidRPr="007453AD">
          <w:rPr>
            <w:rStyle w:val="Hyperlink"/>
            <w:rFonts w:eastAsia="Times New Roman" w:cs="Times New Roman"/>
            <w:b/>
            <w:sz w:val="24"/>
            <w:szCs w:val="24"/>
            <w:lang w:eastAsia="ar-SA" w:bidi="ar-SA"/>
          </w:rPr>
          <w:t>istinomjer@istinomjer.ba</w:t>
        </w:r>
      </w:hyperlink>
    </w:p>
    <w:p w:rsidR="008A3135" w:rsidRPr="007453AD" w:rsidRDefault="008A3135" w:rsidP="00147465">
      <w:pPr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  <w:t>Tel. 033 618 461</w:t>
      </w:r>
    </w:p>
    <w:p w:rsidR="008A3135" w:rsidRPr="007453AD" w:rsidRDefault="008A3135" w:rsidP="00147465">
      <w:pPr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</w:pPr>
    </w:p>
    <w:p w:rsidR="007C5AC5" w:rsidRPr="007453AD" w:rsidRDefault="007C5AC5" w:rsidP="0067031E">
      <w:pPr>
        <w:jc w:val="center"/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  <w:t xml:space="preserve">Informacija </w:t>
      </w:r>
      <w:r w:rsidR="00A225A4">
        <w:rPr>
          <w:rFonts w:eastAsia="Times New Roman" w:cs="Times New Roman"/>
          <w:b/>
          <w:color w:val="auto"/>
          <w:sz w:val="24"/>
          <w:szCs w:val="24"/>
          <w:lang w:eastAsia="ar-SA" w:bidi="ar-SA"/>
        </w:rPr>
        <w:t xml:space="preserve">o realizaciji </w:t>
      </w:r>
      <w:r w:rsidR="00A225A4" w:rsidRPr="00A225A4">
        <w:rPr>
          <w:b/>
          <w:sz w:val="24"/>
          <w:szCs w:val="24"/>
          <w:lang w:val="hr-HR"/>
        </w:rPr>
        <w:t>Program</w:t>
      </w:r>
      <w:r w:rsidR="00A225A4">
        <w:rPr>
          <w:b/>
          <w:sz w:val="24"/>
          <w:szCs w:val="24"/>
          <w:lang w:val="hr-HR"/>
        </w:rPr>
        <w:t>a</w:t>
      </w:r>
      <w:r w:rsidR="00A225A4" w:rsidRPr="00A225A4">
        <w:rPr>
          <w:b/>
          <w:sz w:val="24"/>
          <w:szCs w:val="24"/>
          <w:lang w:val="hr-HR"/>
        </w:rPr>
        <w:t xml:space="preserve"> </w:t>
      </w:r>
      <w:r w:rsidR="00A225A4" w:rsidRPr="00A225A4">
        <w:rPr>
          <w:b/>
          <w:sz w:val="24"/>
          <w:szCs w:val="24"/>
        </w:rPr>
        <w:t>mjera za poticaj zapošljavanja boračke populacije u Kantonu Sarajevo za 2019/2020. godinu</w:t>
      </w:r>
    </w:p>
    <w:p w:rsidR="007C5AC5" w:rsidRPr="007453AD" w:rsidRDefault="007C5AC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7C5AC5" w:rsidRPr="007453AD" w:rsidRDefault="006B5123" w:rsidP="0067031E">
      <w:pPr>
        <w:jc w:val="both"/>
        <w:rPr>
          <w:rFonts w:eastAsia="Times New Roman" w:cs="Times New Roman"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color w:val="auto"/>
          <w:sz w:val="24"/>
          <w:szCs w:val="24"/>
          <w:lang w:eastAsia="ar-SA" w:bidi="ar-SA"/>
        </w:rPr>
        <w:tab/>
      </w:r>
      <w:r w:rsidRPr="007453AD">
        <w:rPr>
          <w:rFonts w:eastAsia="Times New Roman" w:cs="Times New Roman"/>
          <w:color w:val="auto"/>
          <w:sz w:val="24"/>
          <w:szCs w:val="24"/>
          <w:lang w:eastAsia="ar-SA" w:bidi="ar-SA"/>
        </w:rPr>
        <w:tab/>
      </w:r>
    </w:p>
    <w:p w:rsidR="00FE0F48" w:rsidRPr="007453AD" w:rsidRDefault="00FE0F48" w:rsidP="0067031E">
      <w:pPr>
        <w:ind w:firstLine="709"/>
        <w:jc w:val="both"/>
        <w:rPr>
          <w:noProof/>
          <w:sz w:val="24"/>
          <w:szCs w:val="24"/>
          <w:lang w:val="hr-HR"/>
        </w:rPr>
      </w:pPr>
      <w:r w:rsidRPr="007453AD">
        <w:rPr>
          <w:sz w:val="24"/>
          <w:szCs w:val="24"/>
          <w:lang w:val="hr-BA"/>
        </w:rPr>
        <w:t xml:space="preserve">Programom </w:t>
      </w:r>
      <w:r w:rsidR="007C5AC5" w:rsidRPr="007453AD">
        <w:rPr>
          <w:sz w:val="24"/>
          <w:szCs w:val="24"/>
          <w:lang w:val="hr-BA"/>
        </w:rPr>
        <w:t xml:space="preserve"> zapošljavanja boračke populacije u Kantonu Sarajevo</w:t>
      </w:r>
      <w:r w:rsidR="00113222" w:rsidRPr="007453AD">
        <w:rPr>
          <w:sz w:val="24"/>
          <w:szCs w:val="24"/>
          <w:lang w:val="hr-BA"/>
        </w:rPr>
        <w:t xml:space="preserve"> </w:t>
      </w:r>
      <w:r w:rsidR="007C5AC5" w:rsidRPr="007453AD">
        <w:rPr>
          <w:sz w:val="24"/>
          <w:szCs w:val="24"/>
          <w:lang w:val="hr-BA"/>
        </w:rPr>
        <w:t>za 2019/2020. godinu</w:t>
      </w:r>
      <w:r w:rsidRPr="007453AD">
        <w:rPr>
          <w:sz w:val="24"/>
          <w:szCs w:val="24"/>
          <w:lang w:val="hr-BA"/>
        </w:rPr>
        <w:t xml:space="preserve"> između ostalog obuhvaćena je i Mjera stimulisanja poslodavaca sa područja Kantona Sarajevo da provedu Program obuke, prekvalifikacije i dokvalifikacije pripadnika boračke populacije i članova njihovih porodica koji su prijavljeni na evidenciju nezaposlenih u Kantonu Sarajevo za potrebe zapoš</w:t>
      </w:r>
      <w:r w:rsidR="00C969C2" w:rsidRPr="007453AD">
        <w:rPr>
          <w:sz w:val="24"/>
          <w:szCs w:val="24"/>
          <w:lang w:val="hr-BA"/>
        </w:rPr>
        <w:t xml:space="preserve">ljavanja kod poznatog poslodavca. </w:t>
      </w:r>
      <w:r w:rsidRPr="007453AD">
        <w:rPr>
          <w:noProof/>
          <w:sz w:val="24"/>
          <w:szCs w:val="24"/>
        </w:rPr>
        <w:t xml:space="preserve">U cilju realizacije navedenog Programa, </w:t>
      </w:r>
      <w:r w:rsidRPr="007453AD">
        <w:rPr>
          <w:bCs/>
          <w:noProof/>
          <w:sz w:val="24"/>
          <w:szCs w:val="24"/>
          <w:lang w:val="hr-HR"/>
        </w:rPr>
        <w:t xml:space="preserve">Ministarstvo za boračka pitanja </w:t>
      </w:r>
      <w:r w:rsidRPr="007453AD">
        <w:rPr>
          <w:noProof/>
          <w:sz w:val="24"/>
          <w:szCs w:val="24"/>
          <w:lang w:val="hr-HR"/>
        </w:rPr>
        <w:t xml:space="preserve">Kantona Sarajevo </w:t>
      </w:r>
      <w:r w:rsidR="00113222" w:rsidRPr="007453AD">
        <w:rPr>
          <w:noProof/>
          <w:sz w:val="24"/>
          <w:szCs w:val="24"/>
          <w:lang w:val="hr-HR"/>
        </w:rPr>
        <w:t xml:space="preserve">je </w:t>
      </w:r>
      <w:r w:rsidRPr="007453AD">
        <w:rPr>
          <w:bCs/>
          <w:noProof/>
          <w:sz w:val="24"/>
          <w:szCs w:val="24"/>
          <w:lang w:val="hr-BA"/>
        </w:rPr>
        <w:t xml:space="preserve">objavilo </w:t>
      </w:r>
      <w:r w:rsidR="00C969C2" w:rsidRPr="007453AD">
        <w:rPr>
          <w:noProof/>
          <w:sz w:val="24"/>
          <w:szCs w:val="24"/>
          <w:lang w:val="hr-HR"/>
        </w:rPr>
        <w:t xml:space="preserve">Javni poziv, provelo proceduru </w:t>
      </w:r>
      <w:r w:rsidR="00113222" w:rsidRPr="007453AD">
        <w:rPr>
          <w:noProof/>
          <w:sz w:val="24"/>
          <w:szCs w:val="24"/>
          <w:lang w:val="hr-HR"/>
        </w:rPr>
        <w:t>obrade</w:t>
      </w:r>
      <w:r w:rsidR="00C969C2" w:rsidRPr="007453AD">
        <w:rPr>
          <w:noProof/>
          <w:sz w:val="24"/>
          <w:szCs w:val="24"/>
          <w:lang w:val="hr-HR"/>
        </w:rPr>
        <w:t xml:space="preserve"> zaprimljenih zahtjeva a potom zaključilo ugovore sa aplikantima koji su ispunili propisane uvjete.   </w:t>
      </w:r>
    </w:p>
    <w:p w:rsidR="00113222" w:rsidRPr="007453AD" w:rsidRDefault="00113222" w:rsidP="0067031E">
      <w:pPr>
        <w:ind w:firstLine="709"/>
        <w:jc w:val="both"/>
        <w:rPr>
          <w:noProof/>
          <w:sz w:val="24"/>
          <w:szCs w:val="24"/>
          <w:lang w:val="hr-HR"/>
        </w:rPr>
      </w:pPr>
    </w:p>
    <w:p w:rsidR="00B01FBA" w:rsidRDefault="00C969C2" w:rsidP="006B5123">
      <w:pPr>
        <w:ind w:firstLine="720"/>
        <w:jc w:val="both"/>
        <w:rPr>
          <w:rFonts w:eastAsia="Times New Roman"/>
          <w:bCs/>
          <w:color w:val="000000"/>
          <w:sz w:val="24"/>
          <w:szCs w:val="24"/>
          <w:lang w:val="hr-BA" w:eastAsia="hr-HR"/>
        </w:rPr>
      </w:pPr>
      <w:r w:rsidRPr="007453AD">
        <w:rPr>
          <w:noProof/>
          <w:sz w:val="24"/>
          <w:szCs w:val="24"/>
          <w:lang w:val="hr-HR"/>
        </w:rPr>
        <w:t xml:space="preserve">Potpisivanje ugovora je upriličeno </w:t>
      </w:r>
      <w:r w:rsidR="00FE0F48" w:rsidRPr="007453AD">
        <w:rPr>
          <w:noProof/>
          <w:sz w:val="24"/>
          <w:szCs w:val="24"/>
          <w:lang w:val="hr-HR"/>
        </w:rPr>
        <w:t>16.04.2019. godine u Multimedijalnoj sali Kantona sa  osam pravnih lica koris</w:t>
      </w:r>
      <w:r w:rsidRPr="007453AD">
        <w:rPr>
          <w:noProof/>
          <w:sz w:val="24"/>
          <w:szCs w:val="24"/>
          <w:lang w:val="hr-HR"/>
        </w:rPr>
        <w:t>nika sredstava po ovom Programu, pri čemu su ugovorima definisana prava i obaveze ugovornih strana.</w:t>
      </w:r>
      <w:r w:rsidR="005847D8" w:rsidRPr="007453AD">
        <w:rPr>
          <w:noProof/>
          <w:sz w:val="24"/>
          <w:szCs w:val="24"/>
          <w:lang w:val="hr-HR"/>
        </w:rPr>
        <w:t xml:space="preserve"> U daljnjem postupku realizacije ugovorenih obaveza došlo je </w:t>
      </w:r>
      <w:r w:rsidR="00B01FBA">
        <w:rPr>
          <w:noProof/>
          <w:sz w:val="24"/>
          <w:szCs w:val="24"/>
          <w:lang w:val="hr-HR"/>
        </w:rPr>
        <w:t>d</w:t>
      </w:r>
      <w:r w:rsidR="005847D8" w:rsidRPr="007453AD">
        <w:rPr>
          <w:noProof/>
          <w:sz w:val="24"/>
          <w:szCs w:val="24"/>
          <w:lang w:val="hr-HR"/>
        </w:rPr>
        <w:t>o</w:t>
      </w:r>
      <w:r w:rsidR="00B01FBA">
        <w:rPr>
          <w:noProof/>
          <w:sz w:val="24"/>
          <w:szCs w:val="24"/>
          <w:lang w:val="hr-HR"/>
        </w:rPr>
        <w:t xml:space="preserve"> o</w:t>
      </w:r>
      <w:bookmarkStart w:id="0" w:name="_GoBack"/>
      <w:bookmarkEnd w:id="0"/>
      <w:r w:rsidR="005847D8" w:rsidRPr="007453AD">
        <w:rPr>
          <w:noProof/>
          <w:sz w:val="24"/>
          <w:szCs w:val="24"/>
          <w:lang w:val="hr-HR"/>
        </w:rPr>
        <w:t>dstupanja kod određenih korisnika sredstava u odnosu na ugovorene odredbe. Naime</w:t>
      </w:r>
      <w:r w:rsidR="006B5123" w:rsidRPr="007453AD">
        <w:rPr>
          <w:noProof/>
          <w:sz w:val="24"/>
          <w:szCs w:val="24"/>
          <w:lang w:val="hr-HR"/>
        </w:rPr>
        <w:t xml:space="preserve"> od</w:t>
      </w:r>
      <w:r w:rsidR="00113222" w:rsidRPr="007453AD">
        <w:rPr>
          <w:noProof/>
          <w:sz w:val="24"/>
          <w:szCs w:val="24"/>
          <w:lang w:val="hr-HR"/>
        </w:rPr>
        <w:t xml:space="preserve"> jed</w:t>
      </w:r>
      <w:r w:rsidR="005847D8" w:rsidRPr="007453AD">
        <w:rPr>
          <w:noProof/>
          <w:sz w:val="24"/>
          <w:szCs w:val="24"/>
          <w:lang w:val="hr-HR"/>
        </w:rPr>
        <w:t>n</w:t>
      </w:r>
      <w:r w:rsidR="006B5123" w:rsidRPr="007453AD">
        <w:rPr>
          <w:noProof/>
          <w:sz w:val="24"/>
          <w:szCs w:val="24"/>
          <w:lang w:val="hr-HR"/>
        </w:rPr>
        <w:t>og</w:t>
      </w:r>
      <w:r w:rsidR="005847D8" w:rsidRPr="007453AD">
        <w:rPr>
          <w:noProof/>
          <w:sz w:val="24"/>
          <w:szCs w:val="24"/>
          <w:lang w:val="hr-HR"/>
        </w:rPr>
        <w:t xml:space="preserve"> Korisnik</w:t>
      </w:r>
      <w:r w:rsidR="00113222" w:rsidRPr="007453AD">
        <w:rPr>
          <w:noProof/>
          <w:sz w:val="24"/>
          <w:szCs w:val="24"/>
          <w:lang w:val="hr-HR"/>
        </w:rPr>
        <w:t>a</w:t>
      </w:r>
      <w:r w:rsidR="005847D8" w:rsidRPr="007453AD">
        <w:rPr>
          <w:noProof/>
          <w:sz w:val="24"/>
          <w:szCs w:val="24"/>
          <w:lang w:val="hr-HR"/>
        </w:rPr>
        <w:t xml:space="preserve"> sredstava </w:t>
      </w:r>
      <w:r w:rsidR="006B5123" w:rsidRPr="007453AD">
        <w:rPr>
          <w:noProof/>
          <w:sz w:val="24"/>
          <w:szCs w:val="24"/>
          <w:lang w:val="hr-HR"/>
        </w:rPr>
        <w:t xml:space="preserve">Ministarstvo je zaprimilo </w:t>
      </w:r>
      <w:r w:rsidR="005847D8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>Izjavu, u kojoj je navedeno da j</w:t>
      </w:r>
      <w:r w:rsidR="006B5123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>e nakon potpisanog Ugovora</w:t>
      </w:r>
      <w:r w:rsidR="005847D8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>, došlo do izmijenjenih uslova, tako da isti nije u mogućnosti ispoštovati ugovorenu obavezu koja se odnosi na zaposlenje dvije osobe, tako da je u mogućnosti izvršiti prijavu tj. zaposliti jednog radnika.</w:t>
      </w:r>
      <w:r w:rsidR="00BC1630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 xml:space="preserve"> Također</w:t>
      </w:r>
      <w:r w:rsidR="006B5123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 xml:space="preserve"> još jedan poslodavac kojem je bilo odobreno sufinansiranje zapošljavanja jednog lica, je nakon potpisanog ugovora odustao od daljnjeg postupka realizacije istog. </w:t>
      </w:r>
    </w:p>
    <w:p w:rsidR="00B01FBA" w:rsidRDefault="00B01FBA" w:rsidP="006B5123">
      <w:pPr>
        <w:ind w:firstLine="720"/>
        <w:jc w:val="both"/>
        <w:rPr>
          <w:rFonts w:eastAsia="Times New Roman"/>
          <w:bCs/>
          <w:color w:val="000000"/>
          <w:sz w:val="24"/>
          <w:szCs w:val="24"/>
          <w:lang w:val="hr-BA" w:eastAsia="hr-HR"/>
        </w:rPr>
      </w:pPr>
    </w:p>
    <w:p w:rsidR="006B5123" w:rsidRDefault="00AD117F" w:rsidP="006B5123">
      <w:pPr>
        <w:ind w:firstLine="720"/>
        <w:jc w:val="both"/>
        <w:rPr>
          <w:rFonts w:eastAsia="Times New Roman"/>
          <w:b/>
          <w:bCs/>
          <w:color w:val="000000"/>
          <w:sz w:val="24"/>
          <w:szCs w:val="24"/>
          <w:lang w:val="hr-BA" w:eastAsia="hr-HR"/>
        </w:rPr>
      </w:pPr>
      <w:r w:rsidRPr="00B01FBA">
        <w:rPr>
          <w:rFonts w:eastAsia="Times New Roman"/>
          <w:b/>
          <w:bCs/>
          <w:color w:val="000000"/>
          <w:sz w:val="24"/>
          <w:szCs w:val="24"/>
          <w:lang w:val="hr-BA" w:eastAsia="hr-HR"/>
        </w:rPr>
        <w:t>Uzimajući u obzir navedeno</w:t>
      </w:r>
      <w:r w:rsidR="007453AD" w:rsidRPr="00B01FBA">
        <w:rPr>
          <w:rFonts w:eastAsia="Times New Roman"/>
          <w:b/>
          <w:bCs/>
          <w:color w:val="000000"/>
          <w:sz w:val="24"/>
          <w:szCs w:val="24"/>
          <w:lang w:val="hr-BA" w:eastAsia="hr-HR"/>
        </w:rPr>
        <w:t>,</w:t>
      </w:r>
      <w:r w:rsidRPr="00B01FBA">
        <w:rPr>
          <w:rFonts w:eastAsia="Times New Roman"/>
          <w:b/>
          <w:bCs/>
          <w:color w:val="000000"/>
          <w:sz w:val="24"/>
          <w:szCs w:val="24"/>
          <w:lang w:val="hr-BA" w:eastAsia="hr-HR"/>
        </w:rPr>
        <w:t xml:space="preserve"> poslodavci su po osnovu realizacije ove mjere zaposlili ukupno 20 pripadnika boračke populacije. </w:t>
      </w:r>
    </w:p>
    <w:p w:rsidR="00B01FBA" w:rsidRPr="00B01FBA" w:rsidRDefault="00B01FBA" w:rsidP="006B5123">
      <w:pPr>
        <w:ind w:firstLine="720"/>
        <w:jc w:val="both"/>
        <w:rPr>
          <w:rFonts w:eastAsia="Times New Roman"/>
          <w:b/>
          <w:bCs/>
          <w:color w:val="000000"/>
          <w:sz w:val="24"/>
          <w:szCs w:val="24"/>
          <w:lang w:val="hr-BA" w:eastAsia="hr-HR"/>
        </w:rPr>
      </w:pPr>
    </w:p>
    <w:p w:rsidR="00AB0127" w:rsidRPr="007453AD" w:rsidRDefault="006B5123" w:rsidP="00B51CD0">
      <w:pPr>
        <w:jc w:val="both"/>
        <w:rPr>
          <w:sz w:val="24"/>
          <w:szCs w:val="24"/>
        </w:rPr>
      </w:pPr>
      <w:r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 xml:space="preserve">Ostali korisnici su nastavili sa </w:t>
      </w:r>
      <w:r w:rsidR="00B51CD0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 xml:space="preserve">realizacijom ugovorenih obaveza tj. </w:t>
      </w:r>
      <w:r w:rsidR="00BC1630" w:rsidRPr="007453AD">
        <w:rPr>
          <w:rFonts w:eastAsia="Times New Roman"/>
          <w:bCs/>
          <w:color w:val="000000"/>
          <w:sz w:val="24"/>
          <w:szCs w:val="24"/>
          <w:lang w:val="hr-BA" w:eastAsia="hr-HR"/>
        </w:rPr>
        <w:t xml:space="preserve"> </w:t>
      </w:r>
      <w:r w:rsidR="00B51CD0" w:rsidRPr="007453AD">
        <w:rPr>
          <w:sz w:val="24"/>
          <w:szCs w:val="24"/>
        </w:rPr>
        <w:t>dostavili  Ministarstvu dokaze da su polaznici završili obuku, dokvalifikaciju ili prekvalifikaciju, primili</w:t>
      </w:r>
      <w:r w:rsidR="008A3135" w:rsidRPr="007453AD">
        <w:rPr>
          <w:sz w:val="24"/>
          <w:szCs w:val="24"/>
        </w:rPr>
        <w:t xml:space="preserve"> iste</w:t>
      </w:r>
      <w:r w:rsidR="00B51CD0" w:rsidRPr="007453AD">
        <w:rPr>
          <w:sz w:val="24"/>
          <w:szCs w:val="24"/>
        </w:rPr>
        <w:t xml:space="preserve"> u radni odnos  u trajanju od najmanje 6 mjeseci i Ministarstvu dostavili  </w:t>
      </w:r>
      <w:r w:rsidR="008A3135" w:rsidRPr="007453AD">
        <w:rPr>
          <w:sz w:val="24"/>
          <w:szCs w:val="24"/>
        </w:rPr>
        <w:t xml:space="preserve">ugovorom predviđenu dokumentaciju koja se odnosi na zaključene </w:t>
      </w:r>
      <w:r w:rsidR="00B51CD0" w:rsidRPr="007453AD">
        <w:rPr>
          <w:sz w:val="24"/>
          <w:szCs w:val="24"/>
        </w:rPr>
        <w:t>ugovor</w:t>
      </w:r>
      <w:r w:rsidR="008A3135" w:rsidRPr="007453AD">
        <w:rPr>
          <w:sz w:val="24"/>
          <w:szCs w:val="24"/>
        </w:rPr>
        <w:t xml:space="preserve">e o radu, </w:t>
      </w:r>
      <w:r w:rsidR="00B51CD0" w:rsidRPr="007453AD">
        <w:rPr>
          <w:sz w:val="24"/>
          <w:szCs w:val="24"/>
        </w:rPr>
        <w:t xml:space="preserve"> fotokopiju obrasca JS 3100 (prijava osiguranja prethodno zaprimljena i ovjerena u Poreskoj upravi), uvjerenje biroa za zapošljavanje o brisanju osobe sa evidencije nezaposlenih u Kantonu Sarajevo, kao i dokaz o pripadnosti boračkoj populaciji </w:t>
      </w:r>
      <w:r w:rsidR="00B51CD0" w:rsidRPr="007453AD">
        <w:rPr>
          <w:sz w:val="24"/>
          <w:szCs w:val="24"/>
        </w:rPr>
        <w:lastRenderedPageBreak/>
        <w:t xml:space="preserve">zaposlenog lica.  Korisnici sredstava su obezbijedili i Ministarstvu dostavili i </w:t>
      </w:r>
      <w:r w:rsidR="00B51CD0" w:rsidRPr="007453AD">
        <w:rPr>
          <w:rFonts w:eastAsiaTheme="minorEastAsia"/>
          <w:sz w:val="24"/>
          <w:szCs w:val="24"/>
          <w:lang w:eastAsia="bs-Latn-BA"/>
        </w:rPr>
        <w:t>instrumente obezbjeđenja sredstava</w:t>
      </w:r>
      <w:r w:rsidR="00AB0127" w:rsidRPr="007453AD">
        <w:rPr>
          <w:sz w:val="24"/>
          <w:szCs w:val="24"/>
        </w:rPr>
        <w:t xml:space="preserve">. </w:t>
      </w:r>
    </w:p>
    <w:p w:rsidR="008A3135" w:rsidRPr="007453AD" w:rsidRDefault="00AB0127" w:rsidP="008A3135">
      <w:pPr>
        <w:widowControl w:val="0"/>
        <w:autoSpaceDN w:val="0"/>
        <w:jc w:val="both"/>
        <w:textAlignment w:val="baseline"/>
        <w:rPr>
          <w:rFonts w:eastAsia="Calibri" w:cs="Times New Roman"/>
          <w:color w:val="auto"/>
          <w:sz w:val="24"/>
          <w:szCs w:val="24"/>
          <w:lang w:eastAsia="en-US" w:bidi="ar-SA"/>
        </w:rPr>
      </w:pPr>
      <w:r w:rsidRPr="007453AD">
        <w:rPr>
          <w:sz w:val="24"/>
          <w:szCs w:val="24"/>
        </w:rPr>
        <w:t>N</w:t>
      </w:r>
      <w:r w:rsidR="00AD117F" w:rsidRPr="007453AD">
        <w:rPr>
          <w:sz w:val="24"/>
          <w:szCs w:val="24"/>
        </w:rPr>
        <w:t xml:space="preserve">akon </w:t>
      </w:r>
      <w:r w:rsidRPr="007453AD">
        <w:rPr>
          <w:sz w:val="24"/>
          <w:szCs w:val="24"/>
        </w:rPr>
        <w:t xml:space="preserve">ispunjenja ugovorenih obaveza od strane aplikanata, </w:t>
      </w:r>
      <w:r w:rsidR="00AD117F" w:rsidRPr="007453AD">
        <w:rPr>
          <w:sz w:val="24"/>
          <w:szCs w:val="24"/>
        </w:rPr>
        <w:t xml:space="preserve">Ministarstvo </w:t>
      </w:r>
      <w:r w:rsidRPr="007453AD">
        <w:rPr>
          <w:sz w:val="24"/>
          <w:szCs w:val="24"/>
        </w:rPr>
        <w:t>je doznačilo</w:t>
      </w:r>
      <w:r w:rsidR="007453AD">
        <w:rPr>
          <w:sz w:val="24"/>
          <w:szCs w:val="24"/>
        </w:rPr>
        <w:t xml:space="preserve"> sredst</w:t>
      </w:r>
      <w:r w:rsidR="00AD117F" w:rsidRPr="007453AD">
        <w:rPr>
          <w:sz w:val="24"/>
          <w:szCs w:val="24"/>
        </w:rPr>
        <w:t>va na</w:t>
      </w:r>
      <w:r w:rsidRPr="007453AD">
        <w:rPr>
          <w:sz w:val="24"/>
          <w:szCs w:val="24"/>
        </w:rPr>
        <w:t xml:space="preserve"> </w:t>
      </w:r>
      <w:r w:rsidR="007453AD">
        <w:rPr>
          <w:sz w:val="24"/>
          <w:szCs w:val="24"/>
        </w:rPr>
        <w:t>transakcijske</w:t>
      </w:r>
      <w:r w:rsidRPr="007453AD">
        <w:rPr>
          <w:sz w:val="24"/>
          <w:szCs w:val="24"/>
        </w:rPr>
        <w:t xml:space="preserve"> </w:t>
      </w:r>
      <w:r w:rsidR="00AD117F" w:rsidRPr="007453AD">
        <w:rPr>
          <w:sz w:val="24"/>
          <w:szCs w:val="24"/>
        </w:rPr>
        <w:t xml:space="preserve"> račune</w:t>
      </w:r>
      <w:r w:rsidR="008A3135" w:rsidRPr="007453AD">
        <w:rPr>
          <w:sz w:val="24"/>
          <w:szCs w:val="24"/>
        </w:rPr>
        <w:t xml:space="preserve"> istih. </w:t>
      </w:r>
      <w:r w:rsidR="008A3135"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>Korisnici sredstava</w:t>
      </w:r>
      <w:r w:rsidR="007453AD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 </w:t>
      </w:r>
      <w:r w:rsidR="008A3135"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su u obavezi Ministarstvu dostavljati mjesečne izvještaje o utrošku doznačenih sredstava sa dokumentacijom u prilogu. </w:t>
      </w:r>
    </w:p>
    <w:p w:rsidR="00B51CD0" w:rsidRPr="007453AD" w:rsidRDefault="00B51CD0" w:rsidP="00B51CD0">
      <w:pPr>
        <w:jc w:val="both"/>
        <w:rPr>
          <w:sz w:val="24"/>
          <w:szCs w:val="24"/>
        </w:rPr>
      </w:pPr>
    </w:p>
    <w:p w:rsidR="00F25283" w:rsidRDefault="00F24061" w:rsidP="007453AD">
      <w:pPr>
        <w:ind w:firstLine="709"/>
        <w:jc w:val="both"/>
        <w:rPr>
          <w:rFonts w:eastAsia="Calibri" w:cs="Times New Roman"/>
          <w:color w:val="auto"/>
          <w:sz w:val="24"/>
          <w:szCs w:val="24"/>
          <w:lang w:val="hr-HR" w:eastAsia="en-US" w:bidi="ar-SA"/>
        </w:rPr>
      </w:pPr>
      <w:r w:rsidRPr="007453AD">
        <w:rPr>
          <w:noProof/>
          <w:sz w:val="24"/>
          <w:szCs w:val="24"/>
          <w:lang w:val="hr-HR"/>
        </w:rPr>
        <w:t xml:space="preserve">Ovom prilikom ističemo da je </w:t>
      </w:r>
      <w:r w:rsidR="00A225A4">
        <w:rPr>
          <w:rFonts w:eastAsia="Times New Roman" w:cs="Times New Roman"/>
          <w:noProof/>
          <w:color w:val="auto"/>
          <w:sz w:val="24"/>
          <w:szCs w:val="24"/>
          <w:lang w:val="hr-HR" w:bidi="ar-SA"/>
        </w:rPr>
        <w:t>u okviru realizacije Programa</w:t>
      </w:r>
      <w:r w:rsidRPr="007453AD">
        <w:rPr>
          <w:rFonts w:eastAsia="Times New Roman" w:cs="Times New Roman"/>
          <w:noProof/>
          <w:color w:val="333333"/>
          <w:sz w:val="24"/>
          <w:szCs w:val="24"/>
          <w:lang w:val="hr-HR" w:eastAsia="bs-Latn-BA" w:bidi="ar-SA"/>
        </w:rPr>
        <w:t xml:space="preserve"> </w:t>
      </w:r>
      <w:r w:rsidRPr="007453AD">
        <w:rPr>
          <w:rFonts w:eastAsia="Times New Roman" w:cs="Times New Roman"/>
          <w:noProof/>
          <w:color w:val="auto"/>
          <w:sz w:val="24"/>
          <w:szCs w:val="24"/>
          <w:lang w:val="hr-HR" w:bidi="ar-SA"/>
        </w:rPr>
        <w:t xml:space="preserve">mjera za poticaj zapošljavanja boračke populacije u Kantonu Sarajevo za 2019/2020. godinu Ministarstvo raspisalo i </w:t>
      </w:r>
      <w:r w:rsidRPr="00F24061">
        <w:rPr>
          <w:rFonts w:eastAsia="Calibri" w:cs="Times New Roman"/>
          <w:color w:val="auto"/>
          <w:sz w:val="24"/>
          <w:szCs w:val="24"/>
          <w:lang w:val="hr-HR" w:eastAsia="en-US" w:bidi="ar-SA"/>
        </w:rPr>
        <w:t>Javni poziv za realizaciju mjere podrške zadrugama koje okupljaju boračku populaciju putem sufinansiranja poslovnih projekata od strane Ministarstva za boračka pitanja, koji će za rezultat imati novo u</w:t>
      </w:r>
      <w:r w:rsidRPr="007453AD">
        <w:rPr>
          <w:rFonts w:eastAsia="Calibri" w:cs="Times New Roman"/>
          <w:color w:val="auto"/>
          <w:sz w:val="24"/>
          <w:szCs w:val="24"/>
          <w:lang w:val="hr-HR" w:eastAsia="en-US" w:bidi="ar-SA"/>
        </w:rPr>
        <w:t xml:space="preserve">pošljavanje boračke populacije. Na Javni poziv za realizaciju mjere podrške zadrugama zaprimljeno je 9 (devet) zahtjeva od toga 7 zahtjeva  za sufinansiranja poslovnih projekata i 2 zahtjeva za osnivanje zadruge. </w:t>
      </w:r>
    </w:p>
    <w:p w:rsidR="00B01FBA" w:rsidRPr="007453AD" w:rsidRDefault="00B01FBA" w:rsidP="007453AD">
      <w:pPr>
        <w:ind w:firstLine="709"/>
        <w:jc w:val="both"/>
        <w:rPr>
          <w:rFonts w:eastAsia="Calibri" w:cs="Times New Roman"/>
          <w:color w:val="auto"/>
          <w:sz w:val="24"/>
          <w:szCs w:val="24"/>
          <w:lang w:val="hr-HR" w:eastAsia="en-US" w:bidi="ar-SA"/>
        </w:rPr>
      </w:pPr>
    </w:p>
    <w:p w:rsidR="00B01FBA" w:rsidRDefault="00F25283" w:rsidP="007453AD">
      <w:pPr>
        <w:suppressAutoHyphens w:val="0"/>
        <w:ind w:firstLine="709"/>
        <w:jc w:val="both"/>
        <w:rPr>
          <w:rFonts w:eastAsia="Calibri" w:cs="Times New Roman"/>
          <w:color w:val="auto"/>
          <w:sz w:val="24"/>
          <w:szCs w:val="24"/>
          <w:lang w:eastAsia="en-US" w:bidi="ar-SA"/>
        </w:rPr>
      </w:pPr>
      <w:r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>Dana 24</w:t>
      </w:r>
      <w:r w:rsidRPr="00F25283">
        <w:rPr>
          <w:rFonts w:eastAsia="Calibri" w:cs="Times New Roman"/>
          <w:color w:val="auto"/>
          <w:sz w:val="24"/>
          <w:szCs w:val="24"/>
          <w:lang w:eastAsia="en-US" w:bidi="ar-SA"/>
        </w:rPr>
        <w:t>.</w:t>
      </w:r>
      <w:r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>05.2019. godine godine sa 7</w:t>
      </w:r>
      <w:r w:rsidRPr="00F25283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 </w:t>
      </w:r>
      <w:r w:rsidRPr="007453AD">
        <w:rPr>
          <w:rFonts w:eastAsia="Calibri" w:cs="Times New Roman"/>
          <w:color w:val="auto"/>
          <w:sz w:val="24"/>
          <w:szCs w:val="24"/>
          <w:lang w:val="hr-HR" w:eastAsia="en-US" w:bidi="ar-SA"/>
        </w:rPr>
        <w:t>zadruga kojima je odobreno učešće u ovoj Mjeri za sufinansiranje poslovnih projekata</w:t>
      </w:r>
      <w:r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 </w:t>
      </w:r>
      <w:r w:rsidRPr="00F25283">
        <w:rPr>
          <w:rFonts w:eastAsia="Calibri" w:cs="Times New Roman"/>
          <w:color w:val="auto"/>
          <w:sz w:val="24"/>
          <w:szCs w:val="24"/>
          <w:lang w:eastAsia="en-US" w:bidi="ar-SA"/>
        </w:rPr>
        <w:t>zaključeni su pojedinačni Ugovori kojima su utvrđena prava i obaveze ugovornih strana. Ugovorima je definisano da su zadruge i prije</w:t>
      </w:r>
      <w:r w:rsidR="007453AD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 doznačavanja sredstava obavezne</w:t>
      </w:r>
      <w:r w:rsidRPr="00F25283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 dostaviti instrument obezbjeđenja, te da su u roku od 30 dana od dana doznačavanja sredstava u obavezi primiti u radni odnos ugovoreni broj lica iz ciljne kategorije i Ministarstvu dostaviti ugovore o radu kao i drugu potrebnu dokumentaciju. </w:t>
      </w:r>
      <w:r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 xml:space="preserve">Korisnicima sredstava su sredstva doznačena i isti su u obavezi u ostavljenom roku </w:t>
      </w:r>
      <w:r w:rsidR="00113222" w:rsidRPr="007453AD">
        <w:rPr>
          <w:rFonts w:eastAsia="Calibri" w:cs="Times New Roman"/>
          <w:color w:val="auto"/>
          <w:sz w:val="24"/>
          <w:szCs w:val="24"/>
          <w:lang w:eastAsia="en-US" w:bidi="ar-SA"/>
        </w:rPr>
        <w:t>ispoštovati navedeno.</w:t>
      </w:r>
    </w:p>
    <w:p w:rsidR="00B01FBA" w:rsidRDefault="00B01FBA" w:rsidP="007453AD">
      <w:pPr>
        <w:suppressAutoHyphens w:val="0"/>
        <w:ind w:firstLine="709"/>
        <w:jc w:val="both"/>
        <w:rPr>
          <w:rFonts w:eastAsia="Calibri" w:cs="Times New Roman"/>
          <w:color w:val="auto"/>
          <w:sz w:val="24"/>
          <w:szCs w:val="24"/>
          <w:lang w:eastAsia="en-US" w:bidi="ar-SA"/>
        </w:rPr>
      </w:pPr>
    </w:p>
    <w:p w:rsidR="00F25283" w:rsidRPr="00B01FBA" w:rsidRDefault="00113222" w:rsidP="007453AD">
      <w:pPr>
        <w:suppressAutoHyphens w:val="0"/>
        <w:ind w:firstLine="709"/>
        <w:jc w:val="both"/>
        <w:rPr>
          <w:rFonts w:eastAsia="Calibri" w:cs="Times New Roman"/>
          <w:b/>
          <w:color w:val="auto"/>
          <w:sz w:val="24"/>
          <w:szCs w:val="24"/>
          <w:lang w:eastAsia="en-US" w:bidi="ar-SA"/>
        </w:rPr>
      </w:pPr>
      <w:r w:rsidRPr="00B01FBA">
        <w:rPr>
          <w:rFonts w:eastAsia="Calibri" w:cs="Times New Roman"/>
          <w:b/>
          <w:color w:val="auto"/>
          <w:sz w:val="24"/>
          <w:szCs w:val="24"/>
          <w:lang w:eastAsia="en-US" w:bidi="ar-SA"/>
        </w:rPr>
        <w:t xml:space="preserve"> Realizacijom ove mjere </w:t>
      </w:r>
      <w:r w:rsidRPr="00B01FBA">
        <w:rPr>
          <w:rFonts w:eastAsia="Calibri" w:cs="Times New Roman"/>
          <w:b/>
          <w:sz w:val="24"/>
          <w:szCs w:val="24"/>
          <w:lang w:eastAsia="en-US"/>
        </w:rPr>
        <w:t>obezbijeđeno je zaposlenje još 14 pripadnika boračke populacije na period od godinu dana</w:t>
      </w:r>
      <w:r w:rsidR="007453AD" w:rsidRPr="00B01FBA">
        <w:rPr>
          <w:rFonts w:eastAsia="Calibri" w:cs="Times New Roman"/>
          <w:b/>
          <w:sz w:val="24"/>
          <w:szCs w:val="24"/>
          <w:lang w:eastAsia="en-US"/>
        </w:rPr>
        <w:t>.</w:t>
      </w:r>
    </w:p>
    <w:p w:rsidR="00F25283" w:rsidRPr="00B01FBA" w:rsidRDefault="00F25283" w:rsidP="00F24061">
      <w:pPr>
        <w:ind w:firstLine="720"/>
        <w:jc w:val="both"/>
        <w:rPr>
          <w:rFonts w:eastAsia="Calibri" w:cs="Times New Roman"/>
          <w:b/>
          <w:color w:val="auto"/>
          <w:sz w:val="24"/>
          <w:szCs w:val="24"/>
          <w:lang w:val="hr-HR" w:eastAsia="en-US" w:bidi="ar-SA"/>
        </w:rPr>
      </w:pPr>
    </w:p>
    <w:p w:rsidR="00F25283" w:rsidRPr="007453AD" w:rsidRDefault="007453AD" w:rsidP="00F24061">
      <w:pPr>
        <w:ind w:firstLine="720"/>
        <w:jc w:val="both"/>
        <w:rPr>
          <w:rFonts w:eastAsia="Calibri" w:cs="Times New Roman"/>
          <w:color w:val="auto"/>
          <w:sz w:val="24"/>
          <w:szCs w:val="24"/>
          <w:lang w:val="hr-HR" w:eastAsia="en-US" w:bidi="ar-SA"/>
        </w:rPr>
      </w:pPr>
      <w:r>
        <w:rPr>
          <w:rFonts w:eastAsia="Calibri" w:cs="Times New Roman"/>
          <w:color w:val="auto"/>
          <w:sz w:val="24"/>
          <w:szCs w:val="24"/>
          <w:lang w:val="hr-HR" w:eastAsia="en-US" w:bidi="ar-SA"/>
        </w:rPr>
        <w:t>Ministarstvo je obavilo blic intervju sa svim korisnicima sredstava i isti su izjavili da su izuzetno zadovoljni ovim projektom. Imajući u vidu navedeno Ministarstvo planira i u narednoj budžetskoj godini realizirati predmetni projekat.</w:t>
      </w:r>
    </w:p>
    <w:p w:rsidR="00147465" w:rsidRPr="007453AD" w:rsidRDefault="00147465" w:rsidP="006B5123">
      <w:pPr>
        <w:ind w:firstLine="720"/>
        <w:jc w:val="both"/>
        <w:rPr>
          <w:noProof/>
          <w:sz w:val="24"/>
          <w:szCs w:val="24"/>
          <w:lang w:val="hr-HR"/>
        </w:rPr>
      </w:pP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8A3135" w:rsidRPr="007453AD" w:rsidRDefault="008A3135" w:rsidP="008A313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color w:val="auto"/>
          <w:sz w:val="24"/>
          <w:szCs w:val="24"/>
          <w:lang w:eastAsia="ar-SA" w:bidi="ar-SA"/>
        </w:rPr>
        <w:t xml:space="preserve"> </w:t>
      </w:r>
    </w:p>
    <w:p w:rsidR="008A3135" w:rsidRPr="007453AD" w:rsidRDefault="008A3135" w:rsidP="008A313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  <w:r w:rsidRPr="007453AD">
        <w:rPr>
          <w:rFonts w:eastAsia="Times New Roman" w:cs="Times New Roman"/>
          <w:color w:val="auto"/>
          <w:sz w:val="24"/>
          <w:szCs w:val="24"/>
          <w:lang w:eastAsia="ar-SA" w:bidi="ar-SA"/>
        </w:rPr>
        <w:t>Sarajevo,   09.07.2019. g</w:t>
      </w:r>
      <w:r w:rsidR="00B01FBA">
        <w:rPr>
          <w:rFonts w:eastAsia="Times New Roman" w:cs="Times New Roman"/>
          <w:color w:val="auto"/>
          <w:sz w:val="24"/>
          <w:szCs w:val="24"/>
          <w:lang w:eastAsia="ar-SA" w:bidi="ar-SA"/>
        </w:rPr>
        <w:t>odine</w:t>
      </w: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p w:rsidR="00147465" w:rsidRPr="007453AD" w:rsidRDefault="00147465" w:rsidP="00147465">
      <w:pPr>
        <w:rPr>
          <w:rFonts w:eastAsia="Times New Roman" w:cs="Times New Roman"/>
          <w:color w:val="auto"/>
          <w:sz w:val="24"/>
          <w:szCs w:val="24"/>
          <w:lang w:eastAsia="ar-SA" w:bidi="ar-SA"/>
        </w:rPr>
      </w:pPr>
    </w:p>
    <w:sectPr w:rsidR="00147465" w:rsidRPr="007453AD" w:rsidSect="0025087E">
      <w:footerReference w:type="default" r:id="rId9"/>
      <w:headerReference w:type="first" r:id="rId10"/>
      <w:footerReference w:type="first" r:id="rId11"/>
      <w:pgSz w:w="11906" w:h="16838"/>
      <w:pgMar w:top="1134" w:right="1134" w:bottom="454" w:left="1134" w:header="1134" w:footer="454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7C" w:rsidRDefault="00E53B7C">
      <w:r>
        <w:separator/>
      </w:r>
    </w:p>
  </w:endnote>
  <w:endnote w:type="continuationSeparator" w:id="0">
    <w:p w:rsidR="00E53B7C" w:rsidRDefault="00E5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114" w:type="dxa"/>
      <w:tblBorders>
        <w:top w:val="single" w:sz="4" w:space="0" w:color="000001"/>
      </w:tblBorders>
      <w:tblLook w:val="0000" w:firstRow="0" w:lastRow="0" w:firstColumn="0" w:lastColumn="0" w:noHBand="0" w:noVBand="0"/>
    </w:tblPr>
    <w:tblGrid>
      <w:gridCol w:w="2755"/>
      <w:gridCol w:w="4119"/>
      <w:gridCol w:w="2764"/>
    </w:tblGrid>
    <w:tr w:rsidR="008D7592">
      <w:tc>
        <w:tcPr>
          <w:tcW w:w="2755" w:type="dxa"/>
          <w:tcBorders>
            <w:top w:val="single" w:sz="4" w:space="0" w:color="000001"/>
          </w:tcBorders>
          <w:shd w:val="clear" w:color="auto" w:fill="auto"/>
        </w:tcPr>
        <w:p w:rsidR="008D7592" w:rsidRDefault="00974DCF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41E94627" wp14:editId="2D351EE2">
                <wp:extent cx="1208405" cy="4851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9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hyperlink r:id="rId2">
            <w:r>
              <w:rPr>
                <w:rStyle w:val="InternetLink"/>
                <w:color w:val="000000"/>
                <w:sz w:val="20"/>
                <w:szCs w:val="20"/>
                <w:u w:val="none"/>
              </w:rPr>
              <w:t>mbp.ks.gov.ba</w:t>
            </w:r>
          </w:hyperlink>
        </w:p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mbp</w:t>
          </w:r>
          <w:hyperlink r:id="rId3">
            <w:r>
              <w:rPr>
                <w:rStyle w:val="Internet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  <w:p w:rsidR="008D7592" w:rsidRDefault="00974DCF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</w:p>
        <w:p w:rsidR="008D7592" w:rsidRDefault="00974DCF">
          <w:pPr>
            <w:jc w:val="center"/>
          </w:pPr>
          <w:r>
            <w:rPr>
              <w:color w:val="000000"/>
              <w:sz w:val="20"/>
              <w:szCs w:val="20"/>
            </w:rPr>
            <w:t>Fax: + 387 (0) 33 562-251</w:t>
          </w:r>
        </w:p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64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8D7592" w:rsidRDefault="00974DCF">
          <w:pPr>
            <w:snapToGrid w:val="0"/>
            <w:spacing w:before="60"/>
            <w:jc w:val="center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69EEA056" wp14:editId="0289F417">
                <wp:extent cx="842645" cy="842645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592" w:rsidRDefault="008D75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114" w:type="dxa"/>
      <w:tblBorders>
        <w:top w:val="single" w:sz="4" w:space="0" w:color="000001"/>
      </w:tblBorders>
      <w:tblLook w:val="0000" w:firstRow="0" w:lastRow="0" w:firstColumn="0" w:lastColumn="0" w:noHBand="0" w:noVBand="0"/>
    </w:tblPr>
    <w:tblGrid>
      <w:gridCol w:w="2747"/>
      <w:gridCol w:w="4112"/>
      <w:gridCol w:w="2756"/>
    </w:tblGrid>
    <w:tr w:rsidR="008D7592">
      <w:tc>
        <w:tcPr>
          <w:tcW w:w="2747" w:type="dxa"/>
          <w:tcBorders>
            <w:top w:val="single" w:sz="4" w:space="0" w:color="000001"/>
          </w:tcBorders>
          <w:shd w:val="clear" w:color="auto" w:fill="auto"/>
        </w:tcPr>
        <w:p w:rsidR="008D7592" w:rsidRDefault="00974DCF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406A3A42" wp14:editId="4649C4F3">
                <wp:extent cx="1208405" cy="485140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43" t="-2461" r="-1843" b="-24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web: http://</w:t>
          </w:r>
          <w:hyperlink r:id="rId2">
            <w:r>
              <w:rPr>
                <w:rStyle w:val="InternetLink"/>
                <w:color w:val="000000"/>
                <w:sz w:val="20"/>
                <w:szCs w:val="20"/>
                <w:u w:val="none"/>
              </w:rPr>
              <w:t>mbp.ks.gov.ba</w:t>
            </w:r>
          </w:hyperlink>
        </w:p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e-mail: mbp</w:t>
          </w:r>
          <w:hyperlink r:id="rId3">
            <w:r>
              <w:rPr>
                <w:rStyle w:val="Internet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  <w:p w:rsidR="008D7592" w:rsidRDefault="00974DCF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</w:p>
        <w:p w:rsidR="008D7592" w:rsidRDefault="00974DCF">
          <w:pPr>
            <w:jc w:val="center"/>
          </w:pPr>
          <w:r>
            <w:rPr>
              <w:color w:val="000000"/>
              <w:sz w:val="20"/>
              <w:szCs w:val="20"/>
            </w:rPr>
            <w:t>Fax: + 387 (0) 33 562-251</w:t>
          </w:r>
        </w:p>
        <w:p w:rsidR="008D7592" w:rsidRDefault="00974DCF">
          <w:pPr>
            <w:snapToGrid w:val="0"/>
            <w:jc w:val="center"/>
          </w:pPr>
          <w:r>
            <w:rPr>
              <w:color w:val="000000"/>
              <w:sz w:val="20"/>
              <w:szCs w:val="20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1"/>
          </w:tcBorders>
          <w:shd w:val="clear" w:color="auto" w:fill="auto"/>
          <w:vAlign w:val="center"/>
        </w:tcPr>
        <w:p w:rsidR="008D7592" w:rsidRDefault="00974DCF">
          <w:pPr>
            <w:snapToGrid w:val="0"/>
            <w:spacing w:before="60"/>
            <w:jc w:val="center"/>
          </w:pPr>
          <w:r>
            <w:rPr>
              <w:noProof/>
              <w:lang w:val="en-GB" w:eastAsia="en-GB" w:bidi="ar-SA"/>
            </w:rPr>
            <w:drawing>
              <wp:inline distT="0" distB="0" distL="0" distR="0" wp14:anchorId="1715895A" wp14:editId="30430AD4">
                <wp:extent cx="842645" cy="84264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-48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592" w:rsidRDefault="008D75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7C" w:rsidRDefault="00E53B7C">
      <w:r>
        <w:separator/>
      </w:r>
    </w:p>
  </w:footnote>
  <w:footnote w:type="continuationSeparator" w:id="0">
    <w:p w:rsidR="00E53B7C" w:rsidRDefault="00E5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5" w:type="dxa"/>
      <w:tblInd w:w="114" w:type="dxa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D7592">
      <w:tc>
        <w:tcPr>
          <w:tcW w:w="4244" w:type="dxa"/>
          <w:shd w:val="clear" w:color="auto" w:fill="auto"/>
        </w:tcPr>
        <w:p w:rsidR="008D7592" w:rsidRDefault="00974DCF">
          <w:pPr>
            <w:pStyle w:val="Header"/>
            <w:jc w:val="right"/>
          </w:pPr>
          <w:r>
            <w:t>Bosna i Hercegovina</w:t>
          </w:r>
        </w:p>
        <w:p w:rsidR="008D7592" w:rsidRDefault="00974DCF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8D7592" w:rsidRDefault="00974DCF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4445" simplePos="0" relativeHeight="2" behindDoc="1" locked="0" layoutInCell="1" allowOverlap="1" wp14:anchorId="0165B89A" wp14:editId="36679FCD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24205" cy="78486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</w:tcPr>
        <w:p w:rsidR="008D7592" w:rsidRDefault="00974DCF">
          <w:pPr>
            <w:pStyle w:val="Header"/>
          </w:pPr>
          <w:r>
            <w:t>Босна и Херцеговина</w:t>
          </w:r>
        </w:p>
        <w:p w:rsidR="008D7592" w:rsidRDefault="00974DCF">
          <w:pPr>
            <w:pStyle w:val="Header"/>
          </w:pPr>
          <w:r>
            <w:t>Федерација Босне и Херцеговине</w:t>
          </w:r>
        </w:p>
      </w:tc>
    </w:tr>
    <w:tr w:rsidR="008D7592">
      <w:trPr>
        <w:trHeight w:val="636"/>
      </w:trPr>
      <w:tc>
        <w:tcPr>
          <w:tcW w:w="4244" w:type="dxa"/>
          <w:shd w:val="clear" w:color="auto" w:fill="auto"/>
        </w:tcPr>
        <w:p w:rsidR="008D7592" w:rsidRDefault="00974DCF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8D7592" w:rsidRDefault="00974DCF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:rsidR="008D7592" w:rsidRDefault="008D7592"/>
      </w:tc>
      <w:tc>
        <w:tcPr>
          <w:tcW w:w="4171" w:type="dxa"/>
          <w:shd w:val="clear" w:color="auto" w:fill="auto"/>
        </w:tcPr>
        <w:p w:rsidR="008D7592" w:rsidRDefault="00974DCF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8D7592" w:rsidRDefault="00974DCF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8D7592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4825" w:type="dxa"/>
            <w:tblInd w:w="2265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D7592">
            <w:tc>
              <w:tcPr>
                <w:tcW w:w="4825" w:type="dxa"/>
                <w:shd w:val="clear" w:color="auto" w:fill="auto"/>
              </w:tcPr>
              <w:p w:rsidR="008D7592" w:rsidRDefault="00974DCF">
                <w:pPr>
                  <w:pStyle w:val="Header"/>
                  <w:jc w:val="center"/>
                </w:pPr>
                <w:r>
                  <w:t>Bosnia and Herzegovina</w:t>
                </w:r>
              </w:p>
              <w:p w:rsidR="008D7592" w:rsidRDefault="00974DCF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D7592">
            <w:tc>
              <w:tcPr>
                <w:tcW w:w="4825" w:type="dxa"/>
                <w:shd w:val="clear" w:color="auto" w:fill="auto"/>
              </w:tcPr>
              <w:p w:rsidR="008D7592" w:rsidRDefault="00974DCF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:rsidR="008D7592" w:rsidRDefault="00974DCF">
                <w:pPr>
                  <w:pStyle w:val="Header"/>
                  <w:snapToGrid w:val="0"/>
                  <w:jc w:val="center"/>
                </w:pPr>
                <w:r>
                  <w:rPr>
                    <w:b/>
                    <w:bCs/>
                  </w:rPr>
                  <w:t>Ministry of Veteran's affairs</w:t>
                </w:r>
              </w:p>
            </w:tc>
          </w:tr>
        </w:tbl>
        <w:p w:rsidR="008D7592" w:rsidRDefault="008D7592">
          <w:pPr>
            <w:pStyle w:val="Header"/>
          </w:pPr>
        </w:p>
      </w:tc>
    </w:tr>
  </w:tbl>
  <w:p w:rsidR="008D7592" w:rsidRDefault="008D7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0A"/>
    <w:multiLevelType w:val="hybridMultilevel"/>
    <w:tmpl w:val="5D2850D2"/>
    <w:lvl w:ilvl="0" w:tplc="3B660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213D"/>
    <w:multiLevelType w:val="hybridMultilevel"/>
    <w:tmpl w:val="8BF8199A"/>
    <w:lvl w:ilvl="0" w:tplc="4B2C5E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2"/>
    <w:rsid w:val="00106A76"/>
    <w:rsid w:val="00113222"/>
    <w:rsid w:val="00147465"/>
    <w:rsid w:val="0025087E"/>
    <w:rsid w:val="005847D8"/>
    <w:rsid w:val="0067031E"/>
    <w:rsid w:val="006A493F"/>
    <w:rsid w:val="006B5123"/>
    <w:rsid w:val="007453AD"/>
    <w:rsid w:val="00776850"/>
    <w:rsid w:val="007C5AC5"/>
    <w:rsid w:val="008A3135"/>
    <w:rsid w:val="008D7592"/>
    <w:rsid w:val="00974DCF"/>
    <w:rsid w:val="00A225A4"/>
    <w:rsid w:val="00AB0127"/>
    <w:rsid w:val="00AD117F"/>
    <w:rsid w:val="00B01FBA"/>
    <w:rsid w:val="00B51CD0"/>
    <w:rsid w:val="00B910D5"/>
    <w:rsid w:val="00BC1630"/>
    <w:rsid w:val="00C02BD0"/>
    <w:rsid w:val="00C969C2"/>
    <w:rsid w:val="00DF1903"/>
    <w:rsid w:val="00E41BE7"/>
    <w:rsid w:val="00E53B7C"/>
    <w:rsid w:val="00E61066"/>
    <w:rsid w:val="00F24061"/>
    <w:rsid w:val="00F25283"/>
    <w:rsid w:val="00FE0F48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color w:val="00000A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6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65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B51CD0"/>
    <w:pPr>
      <w:suppressAutoHyphens w:val="0"/>
      <w:ind w:left="720"/>
      <w:contextualSpacing/>
    </w:pPr>
    <w:rPr>
      <w:rFonts w:eastAsia="Times New Roman" w:cs="Times New Roman"/>
      <w:color w:val="auto"/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uiPriority w:val="99"/>
    <w:unhideWhenUsed/>
    <w:rsid w:val="008A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color w:val="00000A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6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65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B51CD0"/>
    <w:pPr>
      <w:suppressAutoHyphens w:val="0"/>
      <w:ind w:left="720"/>
      <w:contextualSpacing/>
    </w:pPr>
    <w:rPr>
      <w:rFonts w:eastAsia="Times New Roman" w:cs="Times New Roman"/>
      <w:color w:val="auto"/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uiPriority w:val="99"/>
    <w:unhideWhenUsed/>
    <w:rsid w:val="008A3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nomjer@istinomjer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Belma Adilovic</cp:lastModifiedBy>
  <cp:revision>7</cp:revision>
  <cp:lastPrinted>2019-07-09T11:13:00Z</cp:lastPrinted>
  <dcterms:created xsi:type="dcterms:W3CDTF">2019-07-09T09:30:00Z</dcterms:created>
  <dcterms:modified xsi:type="dcterms:W3CDTF">2019-07-09T11:38:00Z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